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4C4" w:rsidRDefault="0066561F">
      <w:pPr>
        <w:spacing w:line="560" w:lineRule="exact"/>
        <w:jc w:val="center"/>
        <w:rPr>
          <w:rFonts w:ascii="华文中宋" w:eastAsia="华文中宋" w:hAnsi="华文中宋"/>
          <w:sz w:val="44"/>
          <w:szCs w:val="44"/>
        </w:rPr>
      </w:pPr>
      <w:bookmarkStart w:id="0" w:name="_Hlk224200038"/>
      <w:bookmarkStart w:id="1" w:name="_GoBack"/>
      <w:bookmarkEnd w:id="1"/>
      <w:r>
        <w:rPr>
          <w:rFonts w:ascii="华文中宋" w:eastAsia="华文中宋" w:hAnsi="华文中宋" w:hint="eastAsia"/>
          <w:sz w:val="44"/>
          <w:szCs w:val="44"/>
        </w:rPr>
        <w:t>中国科学院天津工业生物技术研究所科研安全技术服务项目</w:t>
      </w:r>
      <w:bookmarkEnd w:id="0"/>
    </w:p>
    <w:p w:rsidR="008524C4" w:rsidRDefault="008524C4">
      <w:pPr>
        <w:spacing w:line="560" w:lineRule="exact"/>
        <w:rPr>
          <w:rFonts w:ascii="仿宋_GB2312" w:eastAsia="仿宋_GB2312" w:hAnsi="华文中宋"/>
          <w:sz w:val="32"/>
          <w:szCs w:val="32"/>
        </w:rPr>
      </w:pPr>
    </w:p>
    <w:p w:rsidR="008524C4" w:rsidRDefault="0066561F" w:rsidP="006A7B2C">
      <w:pPr>
        <w:numPr>
          <w:ilvl w:val="0"/>
          <w:numId w:val="1"/>
        </w:num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服务内容</w:t>
      </w:r>
    </w:p>
    <w:p w:rsidR="008524C4" w:rsidRDefault="0066561F">
      <w:pPr>
        <w:pStyle w:val="aa"/>
        <w:spacing w:before="156" w:line="560" w:lineRule="exact"/>
        <w:ind w:firstLine="64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进一步开展安全风险分级管控和隐患排查治理双重控制机制建设，完善编制安全风险分级管控和隐患排查治理双重控制手册，包括但不限于《危险源辨识及风险评估表》《一般及以上危险源辨识评估清单一览表》《安全风险分级管控措施一览表》，四色图，《科研安全生产隐患排查治理工作清单》。</w:t>
      </w:r>
    </w:p>
    <w:p w:rsidR="008524C4" w:rsidRDefault="0066561F">
      <w:pPr>
        <w:pStyle w:val="aa"/>
        <w:spacing w:before="156" w:line="560" w:lineRule="exact"/>
        <w:ind w:firstLine="64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进一步开展实验室应急处置机制建设，根据危险源辨识评估情况，进行实验室应急处置评估，编制每个实验室的《实验室应急处置指导手册》并汇总成册，包括但不限于危险源分布图、应急处置措施和方法、佩戴装备要求、应急物资准备、注意事项等。</w:t>
      </w:r>
    </w:p>
    <w:p w:rsidR="008524C4" w:rsidRDefault="0066561F">
      <w:pPr>
        <w:pStyle w:val="aa"/>
        <w:spacing w:before="156" w:line="560" w:lineRule="exact"/>
        <w:ind w:firstLine="640"/>
      </w:pPr>
      <w:r>
        <w:rPr>
          <w:rFonts w:hint="eastAsia"/>
        </w:rPr>
        <w:t>服务单位结合两项服务内容，分析采购单位在管理过程中存在的问题，提出改进建议并提交可行性报告。</w:t>
      </w:r>
    </w:p>
    <w:p w:rsidR="008524C4" w:rsidRDefault="0066561F" w:rsidP="006A7B2C">
      <w:pPr>
        <w:pStyle w:val="aa"/>
        <w:numPr>
          <w:ilvl w:val="0"/>
          <w:numId w:val="1"/>
        </w:numPr>
        <w:spacing w:before="156" w:line="560" w:lineRule="exact"/>
        <w:ind w:firstLine="643"/>
        <w:rPr>
          <w:b/>
          <w:bCs/>
        </w:rPr>
      </w:pPr>
      <w:r>
        <w:rPr>
          <w:rFonts w:hint="eastAsia"/>
          <w:b/>
          <w:bCs/>
        </w:rPr>
        <w:t>服务期限</w:t>
      </w:r>
    </w:p>
    <w:p w:rsidR="008524C4" w:rsidRDefault="0066561F">
      <w:pPr>
        <w:pStyle w:val="aa"/>
        <w:spacing w:before="156" w:line="560" w:lineRule="exact"/>
        <w:ind w:firstLine="640"/>
      </w:pPr>
      <w:r>
        <w:rPr>
          <w:rFonts w:hint="eastAsia"/>
        </w:rPr>
        <w:t>自项目合同签订之日起，</w:t>
      </w:r>
      <w:r>
        <w:rPr>
          <w:rFonts w:hint="eastAsia"/>
        </w:rPr>
        <w:t>6</w:t>
      </w:r>
      <w:r>
        <w:rPr>
          <w:rFonts w:hint="eastAsia"/>
        </w:rPr>
        <w:t>个月内完成。</w:t>
      </w:r>
    </w:p>
    <w:p w:rsidR="008524C4" w:rsidRDefault="0066561F" w:rsidP="006A7B2C">
      <w:pPr>
        <w:pStyle w:val="aa"/>
        <w:numPr>
          <w:ilvl w:val="0"/>
          <w:numId w:val="1"/>
        </w:numPr>
        <w:spacing w:before="156" w:line="560" w:lineRule="exact"/>
        <w:ind w:firstLine="643"/>
        <w:rPr>
          <w:b/>
          <w:bCs/>
        </w:rPr>
      </w:pPr>
      <w:r>
        <w:rPr>
          <w:rFonts w:hint="eastAsia"/>
          <w:b/>
          <w:bCs/>
        </w:rPr>
        <w:t>服务规范</w:t>
      </w:r>
    </w:p>
    <w:p w:rsidR="008524C4" w:rsidRDefault="0066561F">
      <w:pPr>
        <w:pStyle w:val="aa"/>
        <w:spacing w:before="156" w:line="560" w:lineRule="exact"/>
        <w:ind w:firstLine="640"/>
      </w:pPr>
      <w:r>
        <w:rPr>
          <w:rFonts w:hint="eastAsia"/>
        </w:rPr>
        <w:t>遵守国家有关从业资质、人员资质、从业行为规范等有关要求。编制文件应参考现行国家、地方有关法律、法规、</w:t>
      </w:r>
      <w:r>
        <w:rPr>
          <w:rFonts w:hint="eastAsia"/>
        </w:rPr>
        <w:lastRenderedPageBreak/>
        <w:t>标准规范以及采购单位安</w:t>
      </w:r>
      <w:r>
        <w:rPr>
          <w:rFonts w:hint="eastAsia"/>
        </w:rPr>
        <w:t>全管理制度。</w:t>
      </w:r>
    </w:p>
    <w:p w:rsidR="008524C4" w:rsidRDefault="0066561F" w:rsidP="006A7B2C">
      <w:pPr>
        <w:pStyle w:val="aa"/>
        <w:numPr>
          <w:ilvl w:val="0"/>
          <w:numId w:val="1"/>
        </w:numPr>
        <w:spacing w:before="156" w:line="560" w:lineRule="exact"/>
        <w:ind w:firstLine="643"/>
        <w:rPr>
          <w:b/>
          <w:bCs/>
        </w:rPr>
      </w:pPr>
      <w:r>
        <w:rPr>
          <w:rFonts w:hint="eastAsia"/>
          <w:b/>
          <w:bCs/>
        </w:rPr>
        <w:t>服务团队</w:t>
      </w:r>
    </w:p>
    <w:p w:rsidR="008524C4" w:rsidRDefault="0066561F">
      <w:pPr>
        <w:pStyle w:val="aa"/>
        <w:spacing w:before="156" w:line="560" w:lineRule="exact"/>
        <w:ind w:firstLine="640"/>
      </w:pPr>
      <w:r>
        <w:rPr>
          <w:rFonts w:hint="eastAsia"/>
        </w:rPr>
        <w:t>项目负责人应具有安全管理有关领域高级工程师职称，项目参与人员应具有安全管理有关领域工程师职称。</w:t>
      </w:r>
    </w:p>
    <w:p w:rsidR="008524C4" w:rsidRDefault="0066561F" w:rsidP="006A7B2C">
      <w:pPr>
        <w:pStyle w:val="aa"/>
        <w:numPr>
          <w:ilvl w:val="0"/>
          <w:numId w:val="1"/>
        </w:numPr>
        <w:spacing w:before="156" w:line="560" w:lineRule="exact"/>
        <w:ind w:firstLine="643"/>
        <w:rPr>
          <w:b/>
          <w:bCs/>
        </w:rPr>
      </w:pPr>
      <w:r>
        <w:rPr>
          <w:rFonts w:hint="eastAsia"/>
          <w:b/>
          <w:bCs/>
        </w:rPr>
        <w:t>培训服务</w:t>
      </w:r>
    </w:p>
    <w:p w:rsidR="008524C4" w:rsidRDefault="0066561F">
      <w:pPr>
        <w:pStyle w:val="aa"/>
        <w:spacing w:before="156" w:line="560" w:lineRule="exact"/>
        <w:ind w:firstLine="640"/>
      </w:pPr>
      <w:r>
        <w:rPr>
          <w:rFonts w:hint="eastAsia"/>
        </w:rPr>
        <w:t>提供</w:t>
      </w:r>
      <w:r>
        <w:rPr>
          <w:rFonts w:hint="eastAsia"/>
        </w:rPr>
        <w:t>2</w:t>
      </w:r>
      <w:r>
        <w:rPr>
          <w:rFonts w:hint="eastAsia"/>
        </w:rPr>
        <w:t>次安全培训服务，内容包括危险源辨识评估和隐患排查治理、应急处置。</w:t>
      </w:r>
    </w:p>
    <w:p w:rsidR="008524C4" w:rsidRDefault="0066561F" w:rsidP="006A7B2C">
      <w:pPr>
        <w:pStyle w:val="aa"/>
        <w:numPr>
          <w:ilvl w:val="0"/>
          <w:numId w:val="1"/>
        </w:numPr>
        <w:spacing w:before="156" w:line="560" w:lineRule="exact"/>
        <w:ind w:firstLine="643"/>
        <w:rPr>
          <w:b/>
          <w:bCs/>
        </w:rPr>
      </w:pPr>
      <w:r>
        <w:rPr>
          <w:rFonts w:hint="eastAsia"/>
          <w:b/>
          <w:bCs/>
        </w:rPr>
        <w:t>成果文件</w:t>
      </w:r>
    </w:p>
    <w:p w:rsidR="008524C4" w:rsidRDefault="0066561F">
      <w:pPr>
        <w:pStyle w:val="aa"/>
        <w:spacing w:before="156" w:line="560" w:lineRule="exact"/>
        <w:ind w:firstLine="640"/>
      </w:pPr>
      <w:r>
        <w:rPr>
          <w:rFonts w:hint="eastAsia"/>
        </w:rPr>
        <w:t>服务单位应提供服务内容要求文件的完整电子版</w:t>
      </w:r>
      <w:r>
        <w:rPr>
          <w:rFonts w:hint="eastAsia"/>
        </w:rPr>
        <w:t>1</w:t>
      </w:r>
      <w:r>
        <w:rPr>
          <w:rFonts w:hint="eastAsia"/>
        </w:rPr>
        <w:t>套、完整纸质版</w:t>
      </w:r>
      <w:r>
        <w:rPr>
          <w:rFonts w:hint="eastAsia"/>
        </w:rPr>
        <w:t>2</w:t>
      </w:r>
      <w:r>
        <w:rPr>
          <w:rFonts w:hint="eastAsia"/>
        </w:rPr>
        <w:t>套。</w:t>
      </w:r>
    </w:p>
    <w:p w:rsidR="008524C4" w:rsidRDefault="0066561F" w:rsidP="006A7B2C">
      <w:pPr>
        <w:pStyle w:val="aa"/>
        <w:numPr>
          <w:ilvl w:val="0"/>
          <w:numId w:val="1"/>
        </w:numPr>
        <w:spacing w:before="156" w:line="560" w:lineRule="exact"/>
        <w:ind w:firstLine="643"/>
        <w:rPr>
          <w:b/>
          <w:bCs/>
        </w:rPr>
      </w:pPr>
      <w:r>
        <w:rPr>
          <w:rFonts w:hint="eastAsia"/>
          <w:b/>
          <w:bCs/>
        </w:rPr>
        <w:t>服务配合</w:t>
      </w:r>
    </w:p>
    <w:p w:rsidR="008524C4" w:rsidRDefault="0066561F">
      <w:pPr>
        <w:pStyle w:val="aa"/>
        <w:spacing w:before="156" w:line="560" w:lineRule="exact"/>
        <w:ind w:firstLine="640"/>
        <w:rPr>
          <w:rFonts w:ascii="仿宋_GB2312" w:eastAsia="仿宋_GB2312"/>
          <w:szCs w:val="32"/>
        </w:rPr>
      </w:pPr>
      <w:r>
        <w:rPr>
          <w:rFonts w:hint="eastAsia"/>
        </w:rPr>
        <w:t>服务单位在服务期内，采购单位管理和科研工作人员提出的问题应作出详细回答。</w:t>
      </w:r>
    </w:p>
    <w:sectPr w:rsidR="00852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61F" w:rsidRDefault="0066561F">
      <w:pPr>
        <w:spacing w:line="240" w:lineRule="auto"/>
      </w:pPr>
      <w:r>
        <w:separator/>
      </w:r>
    </w:p>
  </w:endnote>
  <w:endnote w:type="continuationSeparator" w:id="0">
    <w:p w:rsidR="0066561F" w:rsidRDefault="006656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汉仪中等线KW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Noto Serif CJK SC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61F" w:rsidRDefault="0066561F">
      <w:pPr>
        <w:spacing w:after="0"/>
      </w:pPr>
      <w:r>
        <w:separator/>
      </w:r>
    </w:p>
  </w:footnote>
  <w:footnote w:type="continuationSeparator" w:id="0">
    <w:p w:rsidR="0066561F" w:rsidRDefault="0066561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AF57534"/>
    <w:multiLevelType w:val="singleLevel"/>
    <w:tmpl w:val="FAF57534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E61"/>
    <w:rsid w:val="00466EBF"/>
    <w:rsid w:val="004A56D6"/>
    <w:rsid w:val="005B1F1A"/>
    <w:rsid w:val="0066561F"/>
    <w:rsid w:val="006A7B2C"/>
    <w:rsid w:val="008218D4"/>
    <w:rsid w:val="008524C4"/>
    <w:rsid w:val="0085780E"/>
    <w:rsid w:val="0092798C"/>
    <w:rsid w:val="00A57127"/>
    <w:rsid w:val="00A76E61"/>
    <w:rsid w:val="00D44344"/>
    <w:rsid w:val="00EA7160"/>
    <w:rsid w:val="7F5DC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70C9633-E2AB-4CE4-8428-A67FD40C3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Title"/>
    <w:basedOn w:val="a"/>
    <w:next w:val="a"/>
    <w:link w:val="Char2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Char2">
    <w:name w:val="标题 Char"/>
    <w:basedOn w:val="a0"/>
    <w:link w:val="a6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副标题 Char"/>
    <w:basedOn w:val="a0"/>
    <w:link w:val="a5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3">
    <w:name w:val="引用 Char"/>
    <w:basedOn w:val="a0"/>
    <w:link w:val="a7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Char4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4">
    <w:name w:val="明显引用 Char"/>
    <w:basedOn w:val="a0"/>
    <w:link w:val="a9"/>
    <w:uiPriority w:val="30"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aa">
    <w:name w:val="公文正文"/>
    <w:basedOn w:val="a"/>
    <w:link w:val="ab"/>
    <w:uiPriority w:val="1"/>
    <w:qFormat/>
    <w:pPr>
      <w:spacing w:beforeLines="50" w:before="204" w:after="0" w:line="240" w:lineRule="auto"/>
      <w:ind w:firstLineChars="200" w:firstLine="600"/>
      <w:jc w:val="both"/>
    </w:pPr>
    <w:rPr>
      <w:rFonts w:ascii="Times New Roman" w:eastAsia="仿宋" w:hAnsi="Times New Roman"/>
      <w:sz w:val="32"/>
      <w:szCs w:val="30"/>
    </w:rPr>
  </w:style>
  <w:style w:type="character" w:customStyle="1" w:styleId="ab">
    <w:name w:val="公文正文 字符"/>
    <w:basedOn w:val="a0"/>
    <w:link w:val="aa"/>
    <w:uiPriority w:val="1"/>
    <w:rPr>
      <w:rFonts w:ascii="Times New Roman" w:eastAsia="仿宋" w:hAnsi="Times New Roman"/>
      <w:sz w:val="32"/>
      <w:szCs w:val="30"/>
    </w:rPr>
  </w:style>
  <w:style w:type="paragraph" w:styleId="ac">
    <w:name w:val="Balloon Text"/>
    <w:basedOn w:val="a"/>
    <w:link w:val="Char5"/>
    <w:uiPriority w:val="99"/>
    <w:semiHidden/>
    <w:unhideWhenUsed/>
    <w:rsid w:val="006A7B2C"/>
    <w:pPr>
      <w:spacing w:after="0" w:line="240" w:lineRule="auto"/>
    </w:pPr>
    <w:rPr>
      <w:sz w:val="18"/>
      <w:szCs w:val="18"/>
    </w:rPr>
  </w:style>
  <w:style w:type="character" w:customStyle="1" w:styleId="Char5">
    <w:name w:val="批注框文本 Char"/>
    <w:basedOn w:val="a0"/>
    <w:link w:val="ac"/>
    <w:uiPriority w:val="99"/>
    <w:semiHidden/>
    <w:rsid w:val="006A7B2C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syb</dc:creator>
  <cp:lastModifiedBy>NTKO</cp:lastModifiedBy>
  <cp:revision>3</cp:revision>
  <dcterms:created xsi:type="dcterms:W3CDTF">2026-03-17T13:38:00Z</dcterms:created>
  <dcterms:modified xsi:type="dcterms:W3CDTF">2026-03-17T13:14:00Z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